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9725</w:t>
        <w:t xml:space="preserve">.  </w:t>
      </w:r>
      <w:r>
        <w:rPr>
          <w:b/>
        </w:rPr>
        <w:t xml:space="preserve">Fire and building-related codes and standards remain</w:t>
      </w:r>
    </w:p>
    <w:p>
      <w:pPr>
        <w:jc w:val="both"/>
        <w:spacing w:before="100" w:after="100"/>
        <w:ind w:start="360"/>
        <w:ind w:firstLine="360"/>
      </w:pPr>
      <w:r>
        <w:rPr/>
      </w:r>
      <w:r>
        <w:rPr/>
      </w:r>
      <w:r>
        <w:t xml:space="preserve">The codes and standards listed in this section remain in force in their entirety unless the board adopts and publishes a conflict resolution between the fire and safety codes and standards and the Maine Uniform Building and Energy Code. Conflict resolutions adopted pursuant to this chapter must also be incorporated into the fire and safety codes and standards by the appropriate authorities:</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360"/>
        <w:ind w:firstLine="360"/>
      </w:pPr>
      <w:r>
        <w:rPr>
          <w:b/>
        </w:rPr>
        <w:t>1</w:t>
        <w:t xml:space="preserve">.  </w:t>
      </w:r>
      <w:r>
        <w:rPr>
          <w:b/>
        </w:rPr>
        <w:t xml:space="preserve">Fire safety codes and standards.</w:t>
        <w:t xml:space="preserve"> </w:t>
      </w:r>
      <w:r>
        <w:t xml:space="preserve"> </w:t>
      </w:r>
      <w:r>
        <w:t xml:space="preserve">Fire safety codes and standards adopted pursuant to </w:t>
      </w:r>
      <w:r>
        <w:t>Title 25, sections 2452</w:t>
      </w:r>
      <w:r>
        <w:t xml:space="preserve"> and </w:t>
      </w:r>
      <w:r>
        <w:t>2465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2</w:t>
        <w:t xml:space="preserve">.  </w:t>
      </w:r>
      <w:r>
        <w:rPr>
          <w:b/>
        </w:rPr>
        <w:t xml:space="preserve">Electrical standards.</w:t>
        <w:t xml:space="preserve"> </w:t>
      </w:r>
      <w:r>
        <w:t xml:space="preserve"> </w:t>
      </w:r>
      <w:r>
        <w:t xml:space="preserve">Electrical standards adopted pursuant to </w:t>
      </w:r>
      <w:r>
        <w:t>Title 32, section 1153‑A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3</w:t>
        <w:t xml:space="preserve">.  </w:t>
      </w:r>
      <w:r>
        <w:rPr>
          <w:b/>
        </w:rPr>
        <w:t xml:space="preserve">Plumbing code.</w:t>
        <w:t xml:space="preserve"> </w:t>
      </w:r>
      <w:r>
        <w:t xml:space="preserve"> </w:t>
      </w:r>
      <w:r>
        <w:t xml:space="preserve">The plumbing code adopted pursuant to </w:t>
      </w:r>
      <w:r>
        <w:t>Title 32, section 3403‑B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4</w:t>
        <w:t xml:space="preserve">.  </w:t>
      </w:r>
      <w:r>
        <w:rPr>
          <w:b/>
        </w:rPr>
        <w:t xml:space="preserve">Oil and solid fuel burning equipment standards.</w:t>
        <w:t xml:space="preserve"> </w:t>
      </w:r>
      <w:r>
        <w:t xml:space="preserve"> </w:t>
      </w:r>
      <w:r>
        <w:t xml:space="preserve">Oil and solid fuel burning equipment standards adopted pursuant to </w:t>
      </w:r>
      <w:r>
        <w:t>Title 32, section 18123,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B, §8 (AMD); PL 2009, c. 344, Pt. E, §2 (AFF).]</w:t>
      </w:r>
    </w:p>
    <w:p>
      <w:pPr>
        <w:jc w:val="both"/>
        <w:spacing w:before="100" w:after="0"/>
        <w:ind w:start="360"/>
        <w:ind w:firstLine="360"/>
      </w:pPr>
      <w:r>
        <w:rPr>
          <w:b/>
        </w:rPr>
        <w:t>5</w:t>
        <w:t xml:space="preserve">.  </w:t>
      </w:r>
      <w:r>
        <w:rPr>
          <w:b/>
        </w:rPr>
        <w:t xml:space="preserve">Propane and natural gas equipment standards.</w:t>
        <w:t xml:space="preserve"> </w:t>
      </w:r>
      <w:r>
        <w:t xml:space="preserve"> </w:t>
      </w:r>
      <w:r>
        <w:t xml:space="preserve">Propane and natural gas equipment standards adopted pursuant to </w:t>
      </w:r>
      <w:r>
        <w:t>Title 32, section 18123,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B, §9 (AMD); PL 2009, c. 344, Pt. E, §2 (AFF).]</w:t>
      </w:r>
    </w:p>
    <w:p>
      <w:pPr>
        <w:jc w:val="both"/>
        <w:spacing w:before="100" w:after="0"/>
        <w:ind w:start="360"/>
        <w:ind w:firstLine="360"/>
      </w:pPr>
      <w:r>
        <w:rPr>
          <w:b/>
        </w:rPr>
        <w:t>6</w:t>
        <w:t xml:space="preserve">.  </w:t>
      </w:r>
      <w:r>
        <w:rPr>
          <w:b/>
        </w:rPr>
        <w:t xml:space="preserve">Boiler and pressure vessel standards.</w:t>
        <w:t xml:space="preserve"> </w:t>
      </w:r>
      <w:r>
        <w:t xml:space="preserve"> </w:t>
      </w:r>
      <w:r>
        <w:t xml:space="preserve">Boiler and pressure vessel standards adopted pursuant to </w:t>
      </w:r>
      <w:r>
        <w:t>Title 32, section 15103‑A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B, §2 (AMD).]</w:t>
      </w:r>
    </w:p>
    <w:p>
      <w:pPr>
        <w:jc w:val="both"/>
        <w:spacing w:before="100" w:after="0"/>
        <w:ind w:start="360"/>
        <w:ind w:firstLine="360"/>
      </w:pPr>
      <w:r>
        <w:rPr>
          <w:b/>
        </w:rPr>
        <w:t>7</w:t>
        <w:t xml:space="preserve">.  </w:t>
      </w:r>
      <w:r>
        <w:rPr>
          <w:b/>
        </w:rPr>
        <w:t xml:space="preserve">Elevator standards.</w:t>
        <w:t xml:space="preserve"> </w:t>
      </w:r>
      <w:r>
        <w:t xml:space="preserve"> </w:t>
      </w:r>
      <w:r>
        <w:t xml:space="preserve">Elevator standards adopted pursuant to </w:t>
      </w:r>
      <w:r>
        <w:t>Title 32, section 15205‑A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 PL 2009, c. 344, Pt. B, §§8, 9 (AMD). PL 2009, c. 344, Pt. E, §2 (AFF). PL 2013, c. 70, Pt. B,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§9725. Fire and building-related codes and standards remain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§9725. Fire and building-related codes and standards remain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§9725. FIRE AND BUILDING-RELATED CODES AND STANDARDS REMAIN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