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0-C. Location or us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C. Location or us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C. LOCATION OR US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