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1-1307</w:t>
        <w:t xml:space="preserve">.  </w:t>
      </w:r>
      <w:r>
        <w:rPr>
          <w:b/>
        </w:rPr>
        <w:t xml:space="preserve">Prima facie evidence by 3rd-party documents</w:t>
      </w:r>
    </w:p>
    <w:p>
      <w:pPr>
        <w:jc w:val="both"/>
        <w:spacing w:before="100" w:after="100"/>
        <w:ind w:start="360"/>
        <w:ind w:firstLine="360"/>
      </w:pPr>
      <w:r>
        <w:rPr/>
      </w:r>
      <w:r>
        <w:rPr/>
      </w:r>
      <w:r>
        <w:t xml:space="preserve">A document in due form purporting to be a bill of lading, policy or certificate of insurance, official weigher’s or inspector’s certificate, consular invoice or any other document authorized or required by the contract to be issued by a 3rd party is prima facie evidence of its own authenticity and genuineness and of the facts stated in the document by the 3rd party.</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§1-1307. Prima facie evidence by 3rd-party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§1-1307. Prima facie evidence by 3rd-party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§1-1307. PRIMA FACIE EVIDENCE BY 3RD-PARTY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