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chapter 526, but was not perfected shall be deemed perfected on the effective date of public law, 1977, chapter 526,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§10-104. Transition provision on change of requirement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Transition provision on change of requirement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§10-104. TRANSITION PROVISION ON CHANGE OF REQUIREMENT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