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Definitions: transferability; "goods"; "future" goods; "lot"; "commercial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Definitions: transferability; "goods"; "future" goods; "lot"; "commercial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§2-105. DEFINITIONS: TRANSFERABILITY; "GOODS"; "FUTURE" GOODS; "LOT"; "COMMERCIAL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