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Goods to be severed from realty: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Goods to be severed from realty: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§2-107. GOODS TO BE SEVERED FROM REALTY: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