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2-1218</w:t>
        <w:t xml:space="preserve">.  </w:t>
      </w:r>
      <w:r>
        <w:rPr>
          <w:b/>
        </w:rPr>
        <w:t xml:space="preserve">Insurance and proceeds</w:t>
      </w:r>
    </w:p>
    <w:p>
      <w:pPr>
        <w:jc w:val="both"/>
        <w:spacing w:before="100" w:after="0"/>
        <w:ind w:start="360"/>
        <w:ind w:firstLine="360"/>
      </w:pPr>
      <w:r>
        <w:rPr>
          <w:b/>
        </w:rPr>
        <w:t>(1)</w:t>
        <w:t xml:space="preserve">.  </w:t>
      </w:r>
      <w:r>
        <w:rPr>
          <w:b/>
        </w:rPr>
      </w:r>
      <w:r>
        <w:t xml:space="preserve"> </w:t>
      </w:r>
      <w:r>
        <w:t xml:space="preserve">A lessee obtains an insurable interest when existing goods are identified to the lease contract even though the goods identified are nonconforming and the lessee has an option to reject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 lessee has an insurable interest only by reason of the lessor's identification of the goods, the lessor, until default or insolvency or notification to the lessee that identification is final, may substitute other goods for those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Notwithstanding a lessee's insurable interest under </w:t>
      </w:r>
      <w:r>
        <w:t>subsections (1)</w:t>
      </w:r>
      <w:r>
        <w:t xml:space="preserve"> and </w:t>
      </w:r>
      <w:r>
        <w:t>(2)</w:t>
      </w:r>
      <w:r>
        <w:t xml:space="preserve">, the lessor retains an insurable interest until an option to buy has been exercised by the lessee and risk of loss has passed to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Nothing in this section impairs any insurable interest recognized under any other statute or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parties by agreement may determine that one or more parties have an obligation to obtain and pay for insurance covering the goods and by agreement may determine the beneficiary of the proceeds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§2-1218. Insurance and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§2-1218. Insurance and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§2-1218. INSURANCE AND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