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2-1301</w:t>
        <w:t xml:space="preserve">.  </w:t>
      </w:r>
      <w:r>
        <w:rPr>
          <w:b/>
        </w:rPr>
        <w:t xml:space="preserve">Enforceability of lease contract</w:t>
      </w:r>
    </w:p>
    <w:p>
      <w:pPr>
        <w:jc w:val="both"/>
        <w:spacing w:before="100" w:after="100"/>
        <w:ind w:start="360"/>
        <w:ind w:firstLine="360"/>
      </w:pPr>
      <w:r>
        <w:rPr/>
      </w:r>
      <w:r>
        <w:rPr/>
      </w:r>
      <w:r>
        <w:t xml:space="preserve">Except as otherwise provided in this Article, a lease contract is effective and enforceable according to its terms between the parties, against purchasers of the goods and against creditors of the parties.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§2-1301. Enforceability of lease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§2-1301. Enforceability of lease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§2-1301. ENFORCEABILITY OF LEASE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