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2-1506</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An action for default under a lease contract, including breach of warranty or indemnity, must be commenced within 4 years after the cause of action accrued.  By the original lease contract the parties may reduce the period of limitation to not less than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cause of action for default accrues when the act or omission on which the default or breach of warranty is based is or should have been discovered by the aggrieved party, or when the default occurs, whichever is later.  A cause of action for indemnity accrues when the act or omission on which the claim for indemnity is based is or should have been discovered by the indemnified party,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If an action commenced within the time limited by </w:t>
      </w:r>
      <w:r>
        <w:t>subsection (1)</w:t>
      </w:r>
      <w:r>
        <w:t xml:space="preserve"> is so terminated as to leave available a remedy by another action for the same default or breach of warranty or indemnity, the other action may be commenced after the expiration of the time limited and within 6 months after the termination of the first action unless the termination resulted from voluntary discontinuance or from dismissal for failure or neglect to prosecute.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This section does not alter the law on tolling of the statute of limitations nor does it apply to causes of action that have accrued before this Article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§2-1506.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§2-1506.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§2-1506.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