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2-1517</w:t>
        <w:t xml:space="preserve">.  </w:t>
      </w:r>
      <w:r>
        <w:rPr>
          <w:b/>
        </w:rPr>
        <w:t xml:space="preserve">Revocation of acceptance of goods</w:t>
      </w:r>
    </w:p>
    <w:p>
      <w:pPr>
        <w:jc w:val="both"/>
        <w:spacing w:before="100" w:after="100"/>
        <w:ind w:start="360"/>
        <w:ind w:firstLine="360"/>
      </w:pPr>
      <w:r>
        <w:rPr>
          <w:b/>
        </w:rPr>
        <w:t>(1)</w:t>
        <w:t xml:space="preserve">.  </w:t>
      </w:r>
      <w:r>
        <w:rPr>
          <w:b/>
        </w:rPr>
      </w:r>
      <w:r>
        <w:t xml:space="preserve"> </w:t>
      </w:r>
      <w:r>
        <w:t xml:space="preserve">A lessee may revoke acceptance of a lot or commercial unit whose nonconformity substantially impairs its value to the lessee if the lessee has accepted it:</w:t>
      </w:r>
    </w:p>
    <w:p>
      <w:pPr>
        <w:jc w:val="both"/>
        <w:spacing w:before="100" w:after="0"/>
        <w:ind w:start="720"/>
      </w:pPr>
      <w:r>
        <w:rPr/>
        <w:t>(a)</w:t>
        <w:t xml:space="preserve">.  </w:t>
      </w:r>
      <w:r>
        <w:rPr/>
      </w:r>
      <w:r>
        <w:t xml:space="preserve">Except in the case of a finance lease, on the reasonable assumption that its nonconformity would be cured and it has not been seasonably cured;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Without discovery of the nonconformity if the lessee's acceptance was reasonably induced either by the lessor's assurances or, except in the case of a finance lease, by the difficulty of discovery before acceptance.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in the case of a finance lease that is not a consumer lease, a lessee may revoke acceptance of a lot or commercial unit if the lessor defaults under the lease contract and the default substantially impairs the value of that lot or commercial unit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the lease agreement so provides, the lessee may revoke acceptance of a lot or commercial unit because of other defaults by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Revocation of acceptance must occur within a reasonable time after the lessee discovers or should have discovered the ground for it and before any substantial change in condition of the goods not caused by the nonconformity.  Revocation is not effective until the lessee notifies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 lessee who so revokes has the same rights and duties with regard to the goods involved as if the lessee had rejected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§2-1517. Revocation of acceptance of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§2-1517. Revocation of acceptance of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§2-1517. REVOCATION OF ACCEPTANCE OF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