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Effect of breach on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Effect of breach on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§2-510. EFFECT OF BREACH ON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