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Buyer's remedies in general; buyer's security interest in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Buyer's remedies in general; buyer's security interest in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§2-711. BUYER'S REMEDIES IN GENERAL; BUYER'S SECURITY INTEREST IN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