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4-1208</w:t>
        <w:t xml:space="preserve">.  </w:t>
      </w:r>
      <w:r>
        <w:rPr>
          <w:b/>
        </w:rPr>
        <w:t xml:space="preserve">Misdescription of intermediary bank or beneficiary's bank</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This subsection applies to a payment order identifying an intermediary bank or the beneficiary's bank only by an identifying number.</w:t>
      </w:r>
    </w:p>
    <w:p>
      <w:pPr>
        <w:jc w:val="both"/>
        <w:spacing w:before="100" w:after="0"/>
        <w:ind w:start="720"/>
      </w:pPr>
      <w:r>
        <w:rPr/>
        <w:t>(a)</w:t>
        <w:t xml:space="preserve">.  </w:t>
      </w:r>
      <w:r>
        <w:rPr/>
      </w:r>
      <w:r>
        <w:t xml:space="preserve">The receiving bank may rely on the number as the proper identification of the intermediary or beneficiary's bank and need not determine whether the number identifies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This subsection applies to a payment order identifying an intermediary bank or the beneficiary's bank both by name and an identifying number if the name and number identify different persons.</w:t>
      </w:r>
    </w:p>
    <w:p>
      <w:pPr>
        <w:jc w:val="both"/>
        <w:spacing w:before="100" w:after="0"/>
        <w:ind w:start="720"/>
      </w:pPr>
      <w:r>
        <w:rPr/>
        <w:t>(a)</w:t>
        <w:t xml:space="preserve">.  </w:t>
      </w:r>
      <w:r>
        <w:rPr/>
      </w:r>
      <w:r>
        <w:t xml:space="preserve">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w:t>
      </w:r>
      <w:r>
        <w:t>paragraph (a)</w:t>
      </w:r>
      <w:r>
        <w:t xml:space="preserve">,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w:t>
      </w:r>
      <w:r>
        <w:t>paragraph (a)</w:t>
      </w:r>
      <w:r>
        <w:t xml:space="preserve">, as though the sender were a bank.  Proof of notice may be made by any admissible evidence.  The receiving bank satisfies the burden of proof if it proves that the sender, before the payment order was accepted, signed a record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2023, c. 669, Pt. A, §45 (AMD); PL 2023, c. 669, Pt. E, §1 (AFF).]</w:t>
      </w:r>
    </w:p>
    <w:p>
      <w:pPr>
        <w:jc w:val="both"/>
        <w:spacing w:before="100" w:after="0"/>
        <w:ind w:start="720"/>
      </w:pPr>
      <w:r>
        <w:rPr/>
        <w:t>(c)</w:t>
        <w:t xml:space="preserve">.  </w:t>
      </w:r>
      <w:r>
        <w:rPr/>
      </w:r>
      <w:r>
        <w:t xml:space="preserve">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If the receiving bank knows that the name and number identify different persons, reliance on either the name or the number in executing the sender's payment order is a breach of the obligation stated in </w:t>
      </w:r>
      <w:r>
        <w:t>section 4‑1302,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§4-1208. Misdescription of intermediary bank or beneficiary's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§4-1208. Misdescription of intermediary bank or beneficiary's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§4-1208. MISDESCRIPTION OF INTERMEDIARY BANK OR BENEFICIARY'S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