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4-206</w:t>
        <w:t xml:space="preserve">.  </w:t>
      </w:r>
      <w:r>
        <w:rPr>
          <w:b/>
        </w:rPr>
        <w:t xml:space="preserve">Transfer between banks</w:t>
      </w:r>
    </w:p>
    <w:p>
      <w:pPr>
        <w:jc w:val="both"/>
        <w:spacing w:before="100" w:after="100"/>
        <w:ind w:start="360"/>
        <w:ind w:firstLine="360"/>
      </w:pPr>
      <w:r>
        <w:rPr/>
      </w:r>
      <w:r>
        <w:rPr/>
      </w:r>
      <w:r>
        <w:t xml:space="preserve">Any agreed method that identifies the transferor bank is sufficient for the item's further transfer to another bank.</w:t>
      </w:r>
      <w:r>
        <w:t xml:space="preserve">  </w:t>
      </w:r>
      <w:r xmlns:wp="http://schemas.openxmlformats.org/drawingml/2010/wordprocessingDrawing" xmlns:w15="http://schemas.microsoft.com/office/word/2012/wordml">
        <w:rPr>
          <w:rFonts w:ascii="Arial" w:hAnsi="Arial" w:cs="Arial"/>
          <w:sz w:val="22"/>
          <w:szCs w:val="22"/>
        </w:rPr>
        <w:t xml:space="preserve">[PL 1993, c. 293, Pt. B,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§4-206. Transfer between banks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§4-206. Transfer between banks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§4-206. TRANSFER BETWEEN BANKS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