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7-1404</w:t>
        <w:t xml:space="preserve">.  </w:t>
      </w:r>
      <w:r>
        <w:rPr>
          <w:b/>
        </w:rPr>
        <w:t xml:space="preserve">No liability for good faith delivery pursuant to document of title</w:t>
      </w:r>
    </w:p>
    <w:p>
      <w:pPr>
        <w:jc w:val="both"/>
        <w:spacing w:before="100" w:after="100"/>
        <w:ind w:start="360"/>
        <w:ind w:firstLine="360"/>
      </w:pPr>
      <w:r>
        <w:rPr/>
      </w:r>
      <w:r>
        <w:rPr/>
      </w:r>
      <w:r>
        <w:t xml:space="preserve">A bailee that in good faith has received goods and delivered or otherwise disposed of the goods according to the terms of a document of title or pursuant to this Article is not liable for the goods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person from which the bailee received the goods did not have authority to procure the document or to dispose of the goods;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person to which the bailee delivered the goods did not have authority to receive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§7-1404. No liability for good faith delivery pursuant to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§7-1404. No liability for good faith delivery pursuant to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§7-1404. NO LIABILITY FOR GOOD FAITH DELIVERY PURSUANT TO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