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9-1201</w:t>
        <w:t xml:space="preserve">.  </w:t>
      </w:r>
      <w:r>
        <w:rPr>
          <w:b/>
        </w:rPr>
        <w:t xml:space="preserve">General effectiveness of security agreement</w:t>
      </w:r>
    </w:p>
    <w:p>
      <w:pPr>
        <w:jc w:val="both"/>
        <w:spacing w:before="100" w:after="0"/>
        <w:ind w:start="360"/>
        <w:ind w:firstLine="360"/>
      </w:pPr>
      <w:r>
        <w:rPr>
          <w:b/>
        </w:rPr>
        <w:t>(1)</w:t>
        <w:t xml:space="preserve">.  </w:t>
      </w:r>
      <w:r>
        <w:rPr>
          <w:b/>
        </w:rPr>
      </w:r>
      <w:r>
        <w:t xml:space="preserve"> </w:t>
      </w:r>
      <w:r>
        <w:t xml:space="preserve">Except as otherwise provided in this Title, a security agreement is effective according to its terms between the parties, against purchasers of the collateral and against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A transaction subject to this Article is subject to any applicable rule of law that establishes a different rule for consumers, including </w:t>
      </w:r>
      <w:r>
        <w:t>Title 9‑A</w:t>
      </w:r>
      <w:r>
        <w:t xml:space="preserve">, </w:t>
      </w:r>
      <w:r>
        <w:t>Title 30‑A, sections 3960</w:t>
      </w:r>
      <w:r>
        <w:t xml:space="preserve"> to </w:t>
      </w:r>
      <w:r>
        <w:t>3964‑A</w:t>
      </w:r>
      <w:r>
        <w:t xml:space="preserve"> and </w:t>
      </w:r>
      <w:r>
        <w:t>Title 32, sections 11001</w:t>
      </w:r>
      <w:r>
        <w:t xml:space="preserve"> to </w:t>
      </w:r>
      <w:r>
        <w:t>11054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In case of conflict between this Article and a rule of law, statute or rule described in </w:t>
      </w:r>
      <w:r>
        <w:t>subsection (2)</w:t>
      </w:r>
      <w:r>
        <w:t xml:space="preserve">, the rule of law, statute or rule controls.  Failure to comply with a statute or rule described in </w:t>
      </w:r>
      <w:r>
        <w:t>subsection (2)</w:t>
      </w:r>
      <w:r>
        <w:t xml:space="preserve"> has only the effect the statute or rule specifies.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(4)</w:t>
        <w:t xml:space="preserve">.  </w:t>
      </w:r>
      <w:r>
        <w:rPr>
          <w:b/>
        </w:rPr>
      </w:r>
      <w:r>
        <w:t xml:space="preserve"> </w:t>
      </w:r>
      <w:r>
        <w:t xml:space="preserve">This Article does not:</w:t>
      </w:r>
    </w:p>
    <w:p>
      <w:pPr>
        <w:jc w:val="both"/>
        <w:spacing w:before="100" w:after="0"/>
        <w:ind w:start="720"/>
      </w:pPr>
      <w:r>
        <w:rPr/>
        <w:t>(a)</w:t>
        <w:t xml:space="preserve">.  </w:t>
      </w:r>
      <w:r>
        <w:rPr/>
      </w:r>
      <w:r>
        <w:t xml:space="preserve">Validate any rate, charge, agreement or practice that violates a rule of law, statute or rule described in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Extend the application of the rule of law, statute or rule to a transaction not otherwise subject to rule of law, statute or rule.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§9-1201. General effectiveness of security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§9-1201. General effectiveness of security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§9-1201. GENERAL EFFECTIVENESS OF SECURITY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