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9-1306</w:t>
        <w:t xml:space="preserve">.  </w:t>
      </w:r>
      <w:r>
        <w:rPr>
          <w:b/>
        </w:rPr>
        <w:t xml:space="preserve">Law governing perfection and priority of security interests in letter-of-credit rights</w:t>
      </w:r>
    </w:p>
    <w:p>
      <w:pPr>
        <w:jc w:val="both"/>
        <w:spacing w:before="100" w:after="0"/>
        <w:ind w:start="360"/>
        <w:ind w:firstLine="360"/>
      </w:pPr>
      <w:r>
        <w:rPr>
          <w:b/>
        </w:rPr>
        <w:t>(1)</w:t>
        <w:t xml:space="preserve">.  </w:t>
      </w:r>
      <w:r>
        <w:rPr>
          <w:b/>
        </w:rPr>
      </w:r>
      <w:r>
        <w:t xml:space="preserve"> </w:t>
      </w:r>
      <w:r>
        <w:t xml:space="preserve">Subject to </w:t>
      </w:r>
      <w:r>
        <w:t>subsection (3)</w:t>
      </w:r>
      <w:r>
        <w:t xml:space="preserve">, the local law of the issuer's jurisdiction or a nominated person's jurisdiction governs perfection, the effect of perfection or nonperfection and the priority of a security interest in a letter-of-credit right if the issuer's jurisdiction or nominated person's jurisdiction is a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For purposes of this Part, an issuer's jurisdiction or nominated person's jurisdiction is the jurisdiction whose law governs the liability of the issuer or nominated person with respect to the letter-of-credit right as provided in section 5-116.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w:t>
        <w:t xml:space="preserve">.  </w:t>
      </w:r>
      <w:r>
        <w:rPr>
          <w:b/>
        </w:rPr>
      </w:r>
      <w:r>
        <w:t xml:space="preserve"> </w:t>
      </w:r>
      <w:r>
        <w:t xml:space="preserve">This section does not apply to a security interest that is perfected only under </w:t>
      </w:r>
      <w:r>
        <w:t>section 9‑1308,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§9-1306. Law governing perfection and priority of security interests in letter-of-credit rights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§9-1306. Law governing perfection and priority of security interests in letter-of-credit rights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§9-1306. LAW GOVERNING PERFECTION AND PRIORITY OF SECURITY INTERESTS IN LETTER-OF-CREDIT RIGHTS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