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9-1338</w:t>
        <w:t xml:space="preserve">.  </w:t>
      </w:r>
      <w:r>
        <w:rPr>
          <w:b/>
        </w:rPr>
        <w:t xml:space="preserve">Priority of security interest or agricultural lien perfected by filed financing statement providing certain incorrect information</w:t>
      </w:r>
    </w:p>
    <w:p>
      <w:pPr>
        <w:jc w:val="both"/>
        <w:spacing w:before="100" w:after="100"/>
        <w:ind w:start="360"/>
        <w:ind w:firstLine="360"/>
      </w:pPr>
      <w:r>
        <w:rPr/>
      </w:r>
      <w:r>
        <w:rPr/>
      </w:r>
      <w:r>
        <w:t xml:space="preserve">If a security interest or agricultural lien is perfected by a filed financing statement providing information described in </w:t>
      </w:r>
      <w:r>
        <w:t>section 9‑1516, subsection (2), paragraph (e)</w:t>
      </w:r>
      <w:r>
        <w:t xml:space="preserve"> that is incorrect at the time the financing statement is filed: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The security interest or agricultural lien is subordinate to a conflicting perfected security interest in the collateral to the extent that the holder of the conflicting security interest gives value in reasonable reliance upon the incorrect information;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purchaser, other than a secured party, of the collateral takes free of the security interest or agricultural lien to the extent that, in reasonable reliance upon the incorrect information, the purchaser gives value and:</w:t>
      </w:r>
    </w:p>
    <w:p>
      <w:pPr>
        <w:jc w:val="both"/>
        <w:spacing w:before="100" w:after="0"/>
        <w:ind w:start="720"/>
      </w:pPr>
      <w:r>
        <w:rPr/>
        <w:t>(a)</w:t>
        <w:t xml:space="preserve">.  </w:t>
      </w:r>
      <w:r>
        <w:rPr/>
      </w:r>
      <w:r>
        <w:t xml:space="preserve">In the case of tangible documents, goods, instruments or a security certificate, receives possession or delivery of the collateral; and</w:t>
      </w:r>
      <w:r>
        <w:t xml:space="preserve">  </w:t>
      </w:r>
      <w:r xmlns:wp="http://schemas.openxmlformats.org/drawingml/2010/wordprocessingDrawing" xmlns:w15="http://schemas.microsoft.com/office/word/2012/wordml">
        <w:rPr>
          <w:rFonts w:ascii="Arial" w:hAnsi="Arial" w:cs="Arial"/>
          <w:sz w:val="22"/>
          <w:szCs w:val="22"/>
        </w:rPr>
        <w:t xml:space="preserve">[RR 2023, c. 2, Pt. A, §19 (COR).]</w:t>
      </w:r>
    </w:p>
    <w:p>
      <w:pPr>
        <w:jc w:val="both"/>
        <w:spacing w:before="100" w:after="0"/>
        <w:ind w:start="720"/>
      </w:pPr>
      <w:r>
        <w:rPr/>
        <w:t>(b)</w:t>
        <w:t xml:space="preserve">.  </w:t>
      </w:r>
      <w:r>
        <w:rPr/>
      </w:r>
      <w:r>
        <w:t xml:space="preserve">In the case of chattel paper, takes possession of each authoritative tangible copy of the record evidencing the chattel paper and obtains control of each authoritative electronic copy of the electronic record evidencing the chattel paper.</w:t>
      </w:r>
      <w:r>
        <w:t xml:space="preserve">  </w:t>
      </w:r>
      <w:r xmlns:wp="http://schemas.openxmlformats.org/drawingml/2010/wordprocessingDrawing" xmlns:w15="http://schemas.microsoft.com/office/word/2012/wordml">
        <w:rPr>
          <w:rFonts w:ascii="Arial" w:hAnsi="Arial" w:cs="Arial"/>
          <w:sz w:val="22"/>
          <w:szCs w:val="22"/>
        </w:rPr>
        <w:t xml:space="preserve">[PL 2023, c. 669, Pt. A, §131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§43 (AMD). PL 2009, c. 324, Pt. B, §48 (AFF). PL 2023, c. 669, Pt. A, §131 (AMD). PL 2023, c. 669, Pt. E, §1 (AFF). RR 2023, c. 2, Pt. A, §19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§9-1338. Priority of security interest or agricultural lien perfected by filed financing statement providing certain incorrect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§9-1338. Priority of security interest or agricultural lien perfected by filed financing statement providing certain incorrect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§9-1338. PRIORITY OF SECURITY INTEREST OR AGRICULTURAL LIEN PERFECTED BY FILED FINANCING STATEMENT PROVIDING CERTAIN INCORRECT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