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9-1628</w:t>
        <w:t xml:space="preserve">.  </w:t>
      </w:r>
      <w:r>
        <w:rPr>
          <w:b/>
        </w:rPr>
        <w:t xml:space="preserve">Nonliability and limitation on liability of secured party; liability of secondary obligor</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t>(TEXT EFFECTIVE UNTIL 7/01/25)</w:t>
        <w:t xml:space="preserve"> </w:t>
      </w:r>
      <w:r>
        <w:rPr>
          <w:b/>
        </w:rPr>
      </w:r>
      <w:r>
        <w:t xml:space="preserve"> </w:t>
      </w:r>
      <w:r>
        <w:t xml:space="preserve">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t>(TEXT EFFECTIVE 7/01/25)</w:t>
        <w:t xml:space="preserve"> </w:t>
      </w:r>
      <w:r>
        <w:rPr>
          <w:b/>
        </w:rPr>
      </w:r>
      <w:r>
        <w:t xml:space="preserve"> </w:t>
      </w:r>
      <w:r>
        <w:t xml:space="preserve">Subject to </w:t>
      </w:r>
      <w:r>
        <w:t>subsection (6)</w:t>
      </w:r>
      <w:r>
        <w:t xml:space="preserve">, unless a secured party knows that a person is a debtor or obligor, knows the identity of the person and knows how to communicate with the person:</w:t>
      </w:r>
    </w:p>
    <w:p>
      <w:pPr>
        <w:jc w:val="both"/>
        <w:spacing w:before="100" w:after="0"/>
        <w:ind w:start="720"/>
      </w:pPr>
      <w:r>
        <w:rPr/>
        <w:t>(a)</w:t>
        <w:t xml:space="preserve">.  </w:t>
      </w:r>
      <w:r>
        <w:rPr/>
      </w:r>
      <w:r>
        <w:t xml:space="preserve">The secured party is not liable to the person or to a secured party or lienholder that has filed a financing statement against the person for failure to comply with this Article;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secured party's failure to comply with this Article does not affect the liability of the person for a deficiency.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§166 (AMD); PL 2023, c. 669, Pt. E, §1 (AFF).]</w:t>
      </w:r>
    </w:p>
    <w:p>
      <w:pPr>
        <w:jc w:val="both"/>
        <w:spacing w:before="100" w:after="100"/>
        <w:ind w:start="360"/>
        <w:ind w:firstLine="360"/>
      </w:pPr>
      <w:r>
        <w:rPr>
          <w:b/>
        </w:rPr>
        <w:t>(2)</w:t>
        <w:t xml:space="preserve">.  </w:t>
      </w:r>
      <w:r>
        <w:rPr>
          <w:b/>
        </w:rPr>
        <w:t>(TEXT EFFECTIVE UNTIL 7/01/25)</w:t>
        <w:t xml:space="preserve"> </w:t>
      </w:r>
      <w:r>
        <w:rPr>
          <w:b/>
        </w:rPr>
      </w:r>
      <w:r>
        <w:t xml:space="preserve"> </w:t>
      </w:r>
      <w:r>
        <w:t xml:space="preserve">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t>(TEXT EFFECTIVE 7/01/25)</w:t>
        <w:t xml:space="preserve"> </w:t>
      </w:r>
      <w:r>
        <w:rPr>
          <w:b/>
        </w:rPr>
      </w:r>
      <w:r>
        <w:t xml:space="preserve"> </w:t>
      </w:r>
      <w:r>
        <w:t xml:space="preserve">Subject to </w:t>
      </w:r>
      <w:r>
        <w:t>subsection (6)</w:t>
      </w:r>
      <w:r>
        <w:t xml:space="preserve">, a secured party is not liable because of its status as secured party:</w:t>
      </w:r>
    </w:p>
    <w:p>
      <w:pPr>
        <w:jc w:val="both"/>
        <w:spacing w:before="100" w:after="0"/>
        <w:ind w:start="720"/>
      </w:pPr>
      <w:r>
        <w:rPr/>
        <w:t>(a)</w:t>
        <w:t xml:space="preserve">.  </w:t>
      </w:r>
      <w:r>
        <w:rPr/>
      </w:r>
      <w:r>
        <w:t xml:space="preserve">To a person that is a debtor or obligor, unless the secured party knows:</w:t>
      </w:r>
    </w:p>
    <w:p>
      <w:pPr>
        <w:jc w:val="both"/>
        <w:spacing w:before="100" w:after="0"/>
        <w:ind w:start="1080"/>
      </w:pPr>
      <w:r>
        <w:rPr/>
        <w:t>(</w:t>
        <w:t>i</w:t>
        <w:t xml:space="preserve">)  </w:t>
      </w:r>
      <w:r>
        <w:rPr/>
      </w:r>
      <w:r>
        <w:t xml:space="preserve">That the person is a debtor or obligor;</w:t>
      </w:r>
    </w:p>
    <w:p>
      <w:pPr>
        <w:jc w:val="both"/>
        <w:spacing w:before="100" w:after="0"/>
        <w:ind w:start="1080"/>
      </w:pPr>
      <w:r>
        <w:rPr/>
        <w:t>(</w:t>
        <w:t>ii</w:t>
        <w:t xml:space="preserve">)  </w:t>
      </w:r>
      <w:r>
        <w:rPr/>
      </w:r>
      <w:r>
        <w:t xml:space="preserve">The identity of the person; and</w:t>
      </w:r>
    </w:p>
    <w:p>
      <w:pPr>
        <w:jc w:val="both"/>
        <w:spacing w:before="100" w:after="0"/>
        <w:ind w:start="1080"/>
      </w:pPr>
      <w:r>
        <w:rPr/>
        <w:t>(</w:t>
        <w:t>iii</w:t>
        <w:t xml:space="preserve">)  </w:t>
      </w:r>
      <w:r>
        <w:rPr/>
      </w:r>
      <w:r>
        <w:t xml:space="preserve">How to communicate with the person;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To a secured party or lienholder that has filed a financing statement against a person, unless the secured party knows:</w:t>
      </w:r>
    </w:p>
    <w:p>
      <w:pPr>
        <w:jc w:val="both"/>
        <w:spacing w:before="100" w:after="0"/>
        <w:ind w:start="1080"/>
      </w:pPr>
      <w:r>
        <w:rPr/>
        <w:t>(</w:t>
        <w:t>i</w:t>
        <w:t xml:space="preserve">)  </w:t>
      </w:r>
      <w:r>
        <w:rPr/>
      </w:r>
      <w:r>
        <w:t xml:space="preserve">That the person is a debtor; and</w:t>
      </w:r>
    </w:p>
    <w:p>
      <w:pPr>
        <w:jc w:val="both"/>
        <w:spacing w:before="100" w:after="0"/>
        <w:ind w:start="1080"/>
      </w:pPr>
      <w:r>
        <w:rPr/>
        <w:t>(</w:t>
        <w:t>ii</w:t>
        <w:t xml:space="preserve">)  </w:t>
      </w:r>
      <w:r>
        <w:rPr/>
      </w:r>
      <w:r>
        <w:t xml:space="preserve">The identity of the person.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§167 (AMD); PL 2023, c. 669, Pt. E, §1 (AFF).]</w:t>
      </w:r>
    </w:p>
    <w:p>
      <w:pPr>
        <w:jc w:val="both"/>
        <w:spacing w:before="100" w:after="100"/>
        <w:ind w:start="360"/>
        <w:ind w:firstLine="360"/>
      </w:pPr>
      <w:r>
        <w:rPr>
          <w:b/>
        </w:rPr>
        <w:t>(3)</w:t>
        <w:t xml:space="preserve">.  </w:t>
      </w:r>
      <w:r>
        <w:rPr>
          <w:b/>
        </w:rPr>
      </w:r>
      <w:r>
        <w:t xml:space="preserve"> </w:t>
      </w:r>
      <w:r>
        <w:t xml:space="preserve">A secured party is not liable to any person, and a person's liability for a deficiency is not affected because of any act or omission arising out of the secured party's reasonable belief that a transaction is not a consumer-goods transaction or a consumer transaction or that goods are not consumer goods, if the secured party's belief is based on its reasonable reliance on:</w:t>
      </w:r>
    </w:p>
    <w:p>
      <w:pPr>
        <w:jc w:val="both"/>
        <w:spacing w:before="100" w:after="0"/>
        <w:ind w:start="720"/>
      </w:pPr>
      <w:r>
        <w:rPr/>
        <w:t>(a)</w:t>
        <w:t xml:space="preserve">.  </w:t>
      </w:r>
      <w:r>
        <w:rPr/>
      </w:r>
      <w:r>
        <w:t xml:space="preserve">A debtor's representation concerning the purpose for which collateral was to be used, acquired or held;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An obligor's representation concerning the purpose for which a secured obligation was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secured party is not liable to any person under </w:t>
      </w:r>
      <w:r>
        <w:t>section 9‑1625, subsection (3), paragraph (b)</w:t>
      </w:r>
      <w:r>
        <w:t xml:space="preserve"> for its failure to comply with </w:t>
      </w:r>
      <w:r>
        <w:t>section 9‑1616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secured party is not liable under </w:t>
      </w:r>
      <w:r>
        <w:t>section 9‑1625, subsection (3), paragraph (b)</w:t>
      </w:r>
      <w:r>
        <w:t xml:space="preserve"> more than once with respect to any one secured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t>(TEXT EFFECTIVE 7/01/25)</w:t>
        <w:t xml:space="preserve"> </w:t>
      </w:r>
      <w:r>
        <w:rPr>
          <w:b/>
        </w:rPr>
      </w:r>
      <w:r>
        <w:t xml:space="preserve"> </w:t>
      </w:r>
      <w:r>
        <w:t>Subsections (1)</w:t>
      </w:r>
      <w:r>
        <w:t xml:space="preserve"> and </w:t>
      </w:r>
      <w:r>
        <w:t>(2)</w:t>
      </w:r>
      <w:r>
        <w:t xml:space="preserve"> do not apply to limit the liability of a secured party to a person if, at the time the secured party obtains control of collateral that is a controllable account, controllable electronic record or controllable payment intangible or at the time the security interest attaches to the collateral, whichever is later:</w:t>
      </w:r>
    </w:p>
    <w:p>
      <w:pPr>
        <w:jc w:val="both"/>
        <w:spacing w:before="100" w:after="0"/>
        <w:ind w:start="720"/>
      </w:pPr>
      <w:r>
        <w:rPr/>
        <w:t>(a)</w:t>
        <w:t xml:space="preserve">.  </w:t>
      </w:r>
      <w:r>
        <w:rPr/>
      </w:r>
      <w:r>
        <w:t xml:space="preserve">The person is a debtor or obligor; and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w:pPr>
        <w:jc w:val="both"/>
        <w:spacing w:before="100" w:after="0"/>
        <w:ind w:start="720"/>
      </w:pPr>
      <w:r>
        <w:rPr/>
        <w:t>(b)</w:t>
        <w:t xml:space="preserve">.  </w:t>
      </w:r>
      <w:r>
        <w:rPr/>
      </w:r>
      <w:r>
        <w:t xml:space="preserve">The secured party knows that the information in </w:t>
      </w:r>
      <w:r>
        <w:t>subsection (2), paragraph (a)</w:t>
      </w:r>
      <w:r>
        <w:t xml:space="preserve">, subparagraph (i), (ii) or (iii) relating to the person is not provided by the collateral, a record attached to or logically associated with the collateral or the system in which the collateral is recorded.</w:t>
      </w:r>
      <w:r>
        <w:t xml:space="preserve">  </w:t>
      </w:r>
      <w:r xmlns:wp="http://schemas.openxmlformats.org/drawingml/2010/wordprocessingDrawing" xmlns:w15="http://schemas.microsoft.com/office/word/2012/wordml">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§168 (NEW); PL 2023, c. 669, Pt. E,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PL 2023, c. 669, Pt. A, §§166-168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§9-1628. Nonliability and limitation on liability of secured party; liability of secondary obligor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§9-1628. Nonliability and limitation on liability of secured party; liability of secondary obligor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§9-1628. NONLIABILITY AND LIMITATION ON LIABILITY OF SECURED PARTY; LIABILITY OF SECONDARY OBLIGOR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