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927</w:t>
      </w:r>
    </w:p>
    <w:p>
      <w:pPr>
        <w:jc w:val="center"/>
        <w:ind w:start="360"/>
        <w:spacing w:before="300" w:after="300"/>
      </w:pPr>
      <w:r>
        <w:rPr>
          <w:b/>
        </w:rPr>
        <w:t xml:space="preserve">GUIDES, YOUTH CAMP TRIP LEADERS AND EDUCATIONAL TRIP LEADERS</w:t>
      </w:r>
    </w:p>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226, §1 (NEW); MRSA T. 12 §12853, sub-§7, ¶D (RP).]</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927. GUIDES, YOUTH CAMP TRIP LEADERS AND EDUCATIONAL TRIP LEADERS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927. GUIDES, YOUTH CAMP TRIP LEADERS AND EDUCATIONAL TRIP LEADERS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927. GUIDES, YOUTH CAMP TRIP LEADERS AND EDUCATIONAL TRIP LEADERS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