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10352</w:t>
        <w:t xml:space="preserve">.  </w:t>
      </w:r>
      <w:r>
        <w:rPr>
          <w:b/>
        </w:rPr>
        <w:t xml:space="preserve">Office</w:t>
      </w:r>
    </w:p>
    <w:p>
      <w:pPr>
        <w:jc w:val="both"/>
        <w:spacing w:before="100" w:after="0"/>
        <w:ind w:start="360"/>
        <w:ind w:firstLine="360"/>
      </w:pPr>
      <w:r>
        <w:rPr>
          <w:b/>
        </w:rPr>
        <w:t>1</w:t>
        <w:t xml:space="preserve">.  </w:t>
      </w:r>
      <w:r>
        <w:rPr>
          <w:b/>
        </w:rPr>
        <w:t xml:space="preserve">Conflicts.</w:t>
        <w:t xml:space="preserve"> </w:t>
      </w:r>
      <w:r>
        <w:t xml:space="preserve"> </w:t>
      </w:r>
      <w:r>
        <w:t xml:space="preserve">Wardens appointed under the authority of </w:t>
      </w:r>
      <w:r>
        <w:t>section 10351</w:t>
      </w:r>
      <w:r>
        <w:t xml:space="preserve"> may hold no other governmental office from which they receive compensation, except elected positions in municipal or county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Compensation.</w:t>
        <w:t xml:space="preserve"> </w:t>
      </w:r>
      <w:r>
        <w:t xml:space="preserve"> </w:t>
      </w:r>
      <w:r>
        <w:t xml:space="preserve">The compensation of the wardens appointed pursuant to </w:t>
      </w:r>
      <w:r>
        <w:t>section 10351, subsection 1</w:t>
      </w:r>
      <w:r>
        <w:t xml:space="preserve"> is determined under the Civil Service Law.  Deputy game wardens appointed pursuant to </w:t>
      </w:r>
      <w:r>
        <w:t>section 10351, subsection 2</w:t>
      </w:r>
      <w:r>
        <w:t xml:space="preserve"> are not entitled to compensation but, at the discretion of the Game Warden Colonel and approval of the commissioner, may be compensated for mandatory assignments and for attendance at mandatory training or other required meetings or classes and reimbursed for approved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550,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2007, c. 421, §1 (AMD). PL 2009, c. 550,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§10352.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§10352.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§10352.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