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10403</w:t>
        <w:t xml:space="preserve">.  </w:t>
      </w:r>
      <w:r>
        <w:rPr>
          <w:b/>
        </w:rPr>
        <w:t xml:space="preserve">Enforcement of watercraft laws</w:t>
      </w:r>
    </w:p>
    <w:p>
      <w:pPr>
        <w:jc w:val="both"/>
        <w:spacing w:before="100" w:after="100"/>
        <w:ind w:start="360"/>
        <w:ind w:firstLine="360"/>
      </w:pPr>
      <w:r>
        <w:rPr/>
      </w:r>
      <w:r>
        <w:rPr/>
      </w:r>
      <w:r>
        <w:t xml:space="preserve">Any municipal, county or state law enforcement officer or any harbor master appointed pursuant to </w:t>
      </w:r>
      <w:r>
        <w:t>section 13072</w:t>
      </w:r>
      <w:r>
        <w:t xml:space="preserve"> or </w:t>
      </w:r>
      <w:r>
        <w:t>Title 38, section 1</w:t>
      </w:r>
      <w:r>
        <w:t xml:space="preserve"> has the authority to enforce, in the respective jurisdictions, the watercraft laws in </w:t>
      </w:r>
      <w:r>
        <w:t>chapter 935</w:t>
      </w:r>
      <w:r>
        <w:t xml:space="preserve"> and the rules related to those laws.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§10403. Enforcement of watercraft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§10403. Enforcement of watercraft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§10403. ENFORCEMENT OF WATERCRAFT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