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11951</w:t>
        <w:t xml:space="preserve">.  </w:t>
      </w:r>
      <w:r>
        <w:rPr>
          <w:b/>
        </w:rPr>
        <w:t xml:space="preserve">Hunting hares and rabbits with dogs</w:t>
      </w:r>
    </w:p>
    <w:p>
      <w:pPr>
        <w:jc w:val="both"/>
        <w:spacing w:before="100" w:after="100"/>
        <w:ind w:start="360"/>
        <w:ind w:firstLine="360"/>
      </w:pPr>
      <w:r>
        <w:rPr/>
      </w:r>
      <w:r>
        <w:rPr/>
      </w:r>
      <w:r>
        <w:t xml:space="preserve">A person may use a dog to hunt, or may be accompanied by a dog while hunting, wild hares or rabbits during the open firearm season on deer.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§187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§11951. Hunting hares and rabbits with dogs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§11951. Hunting hares and rabbits with dogs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§11951. HUNTING HARES AND RABBITS WITH DOGS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