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§12001. Night season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Night season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§12001. NIGHT SEASON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