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12453</w:t>
        <w:t xml:space="preserve">.  </w:t>
      </w:r>
      <w:r>
        <w:rPr>
          <w:b/>
        </w:rPr>
        <w:t xml:space="preserve">Inland waters closed to fishing except as opened by law or rule</w:t>
      </w:r>
    </w:p>
    <w:p>
      <w:pPr>
        <w:jc w:val="both"/>
        <w:spacing w:before="100" w:after="100"/>
        <w:ind w:start="360"/>
        <w:ind w:firstLine="360"/>
      </w:pPr>
      <w:r>
        <w:rPr/>
      </w:r>
      <w:r>
        <w:rPr/>
      </w:r>
      <w:r>
        <w:t xml:space="preserve">All inland waters of the State are closed to fishing except as opened by law or rule.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§12453. Inland waters closed to fishing except as opened by law or rule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§12453. Inland waters closed to fishing except as opened by law or rule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§12453. INLAND WATERS CLOSED TO FISHING EXCEPT AS OPENED BY LAW OR RULE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