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12756</w:t>
        <w:t xml:space="preserve">.  </w:t>
      </w:r>
      <w:r>
        <w:rPr>
          <w:b/>
        </w:rPr>
        <w:t xml:space="preserve">Tampering with fishway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without authority from the commissioner may not:</w:t>
      </w:r>
    </w:p>
    <w:p>
      <w:pPr>
        <w:jc w:val="both"/>
        <w:spacing w:before="100" w:after="0"/>
        <w:ind w:start="720"/>
      </w:pPr>
      <w:r>
        <w:rPr/>
        <w:t>A</w:t>
        <w:t xml:space="preserve">.  </w:t>
      </w:r>
      <w:r>
        <w:rPr/>
      </w:r>
      <w:r>
        <w:t xml:space="preserve">Tamper with a fishway;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Close a fishway to fish migration;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Introduce foreign objects into a fishway;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Otherwise damage or destroy a fishway.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§300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§301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§301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§§B300,301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§12756. Tampering with fishway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§12756. Tampering with fishway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§12756. TAMPERING WITH FISHWAY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