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12762</w:t>
        <w:t xml:space="preserve">.  </w:t>
      </w:r>
      <w:r>
        <w:rPr>
          <w:b/>
        </w:rPr>
        <w:t xml:space="preserve">Fish kills; violations; fines; rules; definition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improperly operate a fishway required under this subchapter in a manner that results in a fish kill.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§306 (NEW);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equivalent to the value of the fish killed but not more than $10,000 for each day of that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§306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§306 (NEW); PL 2003, c. 655, Pt. B, §422 (AFF).]</w:t>
      </w:r>
    </w:p>
    <w:p>
      <w:pPr>
        <w:jc w:val="both"/>
        <w:spacing w:before="100" w:after="0"/>
        <w:ind w:start="360"/>
        <w:ind w:firstLine="360"/>
      </w:pPr>
      <w:r>
        <w:rPr>
          <w:b/>
        </w:rPr>
        <w:t>3</w:t>
        <w:t xml:space="preserve">.  </w:t>
      </w:r>
      <w:r>
        <w:rPr>
          <w:b/>
        </w:rPr>
        <w:t xml:space="preserve">Rules; definition.</w:t>
        <w:t xml:space="preserve"> </w:t>
      </w:r>
      <w:r>
        <w:t xml:space="preserve"> </w:t>
      </w:r>
      <w:r>
        <w:t xml:space="preserve">The department and the Department of Marine Resources shall jointly make rules defining "fish kill."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§B306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§12762. Fish kills; violations; fines; rules;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§12762. Fish kills; violations; fines; rules;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§12762. FISH KILLS; VIOLATIONS; FINES; RULES;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