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13064</w:t>
        <w:t xml:space="preserve">.  </w:t>
      </w:r>
      <w:r>
        <w:rPr>
          <w:b/>
        </w:rPr>
        <w:t xml:space="preserve">Certificate of number for motorboats rented or leased</w:t>
      </w:r>
    </w:p>
    <w:p>
      <w:pPr>
        <w:jc w:val="both"/>
        <w:spacing w:before="100" w:after="0"/>
        <w:ind w:start="360"/>
        <w:ind w:firstLine="360"/>
      </w:pPr>
      <w:r>
        <w:rPr>
          <w:b/>
        </w:rPr>
        <w:t>1</w:t>
        <w:t xml:space="preserve">.  </w:t>
      </w:r>
      <w:r>
        <w:rPr>
          <w:b/>
        </w:rPr>
        <w:t xml:space="preserve">Certificate of number required.</w:t>
        <w:t xml:space="preserve"> </w:t>
      </w:r>
      <w:r>
        <w:t xml:space="preserve"> </w:t>
      </w:r>
      <w:r>
        <w:t xml:space="preserve">Before any motorboat is rented or leased, the owner of the motorboat shall obtain a certificate of number from the commissioner under </w:t>
      </w:r>
      <w:r>
        <w:t>section 13056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§374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§B374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§13064. Certificate of number for motorboats rented or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§13064. Certificate of number for motorboats rented or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§13064. CERTIFICATE OF NUMBER FOR MOTORBOATS RENTED OR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