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1890-B</w:t>
        <w:t xml:space="preserve">.  </w:t>
      </w:r>
      <w:r>
        <w:rPr>
          <w:b/>
        </w:rPr>
        <w:t xml:space="preserve">Allagash Wilderness Waterway Permanent Endowment Fund</w:t>
      </w:r>
    </w:p>
    <w:p>
      <w:pPr>
        <w:jc w:val="both"/>
        <w:spacing w:before="100" w:after="100"/>
        <w:ind w:start="360"/>
      </w:pPr>
      <w:r>
        <w:rPr>
          <w:b/>
        </w:rPr>
        <w:t>(REALLOCATED FROM TITLE 12, SECTION 1891-A)</w:t>
      </w:r>
    </w:p>
    <w:p>
      <w:pPr>
        <w:jc w:val="both"/>
        <w:spacing w:before="100" w:after="100"/>
        <w:ind w:start="360"/>
        <w:ind w:firstLine="360"/>
      </w:pPr>
      <w:r>
        <w:rPr/>
      </w:r>
      <w:r>
        <w:rPr/>
      </w:r>
      <w:r>
        <w:t xml:space="preserve">The Treasurer of State shall establish a dedicated, nonlapsing unit called the Allagash Wilderness Waterway Permanent Endowment Fund as a separate unit within the Allagash Waterway account and shall manage the account as a state-held trust.  Subject to the approval of the Governor, the commissioner may accept funds from any source and may accept gifts in trust to be credited to the Allagash Wilderness Waterway Permanent Endowment Fund, except that a gift may not be accepted with any encumbrances or stipulations as to the use of the gift.  Interest earned on investments in the fund must be credited to the fund.  With the advice of the Allagash Wilderness Waterway Advisory Council under </w:t>
      </w:r>
      <w:r>
        <w:t>section 1890‑A</w:t>
      </w:r>
      <w:r>
        <w:t xml:space="preserve">, the director may expend money from the fund for purposes consistent with </w:t>
      </w:r>
      <w:r>
        <w:t>section 1871</w:t>
      </w:r>
      <w:r>
        <w:t xml:space="preserve"> and an approved waterway management plan.</w:t>
      </w:r>
      <w:r>
        <w:t xml:space="preserve">  </w:t>
      </w:r>
      <w:r xmlns:wp="http://schemas.openxmlformats.org/drawingml/2010/wordprocessingDrawing" xmlns:w15="http://schemas.microsoft.com/office/word/2012/wordml">
        <w:rPr>
          <w:rFonts w:ascii="Arial" w:hAnsi="Arial" w:cs="Arial"/>
          <w:sz w:val="22"/>
          <w:szCs w:val="22"/>
        </w:rPr>
        <w:t xml:space="preserve">[PL 2019, c. 343, Pt. AA,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 (COR). PL 2007, c. 695, Pt. A, §13 (RAL). PL 2019, c. 343, Pt. AA,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§1890-B. Allagash Wilderness Waterway Permanent Endowment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§1890-B. Allagash Wilderness Waterway Permanent Endowment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§1890-B. ALLAGASH WILDERNESS WATERWAY PERMANENT ENDOWMENT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