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Commission -- Article III</w:t>
      </w:r>
    </w:p>
    <w:p>
      <w:pPr>
        <w:jc w:val="both"/>
        <w:spacing w:before="100" w:after="100"/>
        <w:ind w:start="360"/>
        <w:ind w:firstLine="360"/>
      </w:pPr>
      <w:r>
        <w:rPr/>
      </w:r>
      <w:r>
        <w:rPr/>
      </w:r>
      <w:r>
        <w:t xml:space="preserve">Each state joining herein shall appoint 3 representatives to a commission constituted and designated as the Atlantic States Marine Fisheries Commission, as authorized by </w:t>
      </w:r>
      <w:r>
        <w:t>Title 5, section 12004‑K, subsection 6</w:t>
      </w:r>
      <w:r>
        <w:t xml:space="preserve">. One shall be the executive officer of the administrative agency of the state charged with the conservation of the fisheries resources to which this compact pertains or, if there be more than one officer or agency, the official of that state named by the governor thereof. The 2nd shall be a member of the legislature of the state designated by the commission or committee on interstate cooperation of that state, or if there be none, or if the commission on interstate cooperation cannot constitutionally designate the member, that legislator shall be designated by the governor thereof; provided, if it is constitutionally impossible to appoint a legislator as a commissioner from that state, the 2nd member shall be appointed by the governor of that state in that governor's discretion. The 3rd shall be a citizen who shall have a knowledge of and interest in the marine fisheries problem to be appointed by the governor. This commission shall be a body corporate with the powers and duties set forth herein.</w:t>
      </w:r>
      <w:r>
        <w:t xml:space="preserve">  </w:t>
      </w:r>
      <w:r xmlns:wp="http://schemas.openxmlformats.org/drawingml/2010/wordprocessingDrawing" xmlns:w15="http://schemas.microsoft.com/office/word/2012/wordml">
        <w:rPr>
          <w:rFonts w:ascii="Arial" w:hAnsi="Arial" w:cs="Arial"/>
          <w:sz w:val="22"/>
          <w:szCs w:val="22"/>
        </w:rPr>
        <w:t xml:space="preserve">[PL 1989, c. 503, Pt. B,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§79 (AMD). PL 1989, c. 503, §B57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§4603.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§4603.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