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5304</w:t>
        <w:t xml:space="preserve">.  </w:t>
      </w:r>
      <w:r>
        <w:rPr>
          <w:b/>
        </w:rPr>
        <w:t xml:space="preserve">Outdoor School for All Maine Students Program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Outdoor School for All Maine Students Program Fund is established within the University of Maine Cooperative Extension Service.  The University of Maine Cooperative Extension Service shall administer grant funds for the program in accordance with </w:t>
      </w:r>
      <w:r>
        <w:t>subsection 2</w:t>
      </w:r>
      <w:r>
        <w:t xml:space="preserve">.  The fund is nonlapsing and may be invested in the same manner as permitted for the investment of other state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0"/>
        <w:ind w:start="360"/>
        <w:ind w:firstLine="360"/>
      </w:pPr>
      <w:r>
        <w:rPr>
          <w:b/>
        </w:rPr>
        <w:t>2</w:t>
        <w:t xml:space="preserve">.  </w:t>
      </w:r>
      <w:r>
        <w:rPr>
          <w:b/>
        </w:rPr>
        <w:t xml:space="preserve">Use of fund.</w:t>
        <w:t xml:space="preserve"> </w:t>
      </w:r>
      <w:r>
        <w:t xml:space="preserve"> </w:t>
      </w:r>
      <w:r>
        <w:t xml:space="preserve">For school year 2025-2026 and each school year thereafter, the University of Maine Cooperative Extension Service shall determine the funding needed for the program. The funding must be sufficient for students in all geographic regions of the State to participate in the program for a 2-night, 3-day experience.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100"/>
        <w:ind w:start="360"/>
        <w:ind w:firstLine="360"/>
      </w:pPr>
      <w:r>
        <w:rPr>
          <w:b/>
        </w:rPr>
        <w:t>3</w:t>
        <w:t xml:space="preserve">.  </w:t>
      </w:r>
      <w:r>
        <w:rPr>
          <w:b/>
        </w:rPr>
        <w:t xml:space="preserve">Sources of fund.</w:t>
        <w:t xml:space="preserve"> </w:t>
      </w:r>
      <w:r>
        <w:t xml:space="preserve"> </w:t>
      </w:r>
      <w:r>
        <w:t xml:space="preserve">The State Controller shall credit to the fund:</w:t>
      </w:r>
    </w:p>
    <w:p>
      <w:pPr>
        <w:jc w:val="both"/>
        <w:spacing w:before="100" w:after="0"/>
        <w:ind w:start="720"/>
      </w:pPr>
      <w:r>
        <w:rPr/>
        <w:t>A</w:t>
        <w:t xml:space="preserve">.  </w:t>
      </w:r>
      <w:r>
        <w:rPr/>
      </w:r>
      <w:r>
        <w:t xml:space="preserve">All money appropriated or allocated by the Legislature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B</w:t>
        <w:t xml:space="preserve">.  </w:t>
      </w:r>
      <w:r>
        <w:rPr/>
      </w:r>
      <w:r>
        <w:t xml:space="preserve">Money from any other source, whether public or private, designated for deposit into or credited to the fund; and</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w:pPr>
        <w:jc w:val="both"/>
        <w:spacing w:before="100" w:after="0"/>
        <w:ind w:start="720"/>
      </w:pPr>
      <w:r>
        <w:rPr/>
        <w:t>C</w:t>
        <w:t xml:space="preserve">.  </w:t>
      </w:r>
      <w:r>
        <w:rPr/>
      </w:r>
      <w:r>
        <w:t xml:space="preserve">Interest earned or other investment income on balances in the fund.</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w:t>
      </w:r>
    </w:p>
    <w:p>
      <w:pPr>
        <w:jc w:val="both"/>
        <w:spacing w:before="100" w:after="100"/>
        <w:ind w:start="360"/>
        <w:ind w:firstLine="360"/>
      </w:pPr>
      <w:r>
        <w:rPr/>
      </w:r>
      <w:r>
        <w:rPr/>
      </w:r>
      <w:r>
        <w:t xml:space="preserve">The University of Maine Cooperative Extension Service may use funds for staff and for administrative costs associated with administering grant funds for the program. The University of Maine Cooperative Extension Service is not required to provide grants under </w:t>
      </w:r>
      <w:r>
        <w:t>section 5302</w:t>
      </w:r>
      <w:r>
        <w:t xml:space="preserve">, develop an evaluation and longitudinal study under section 5305, convene an advisory committee under </w:t>
      </w:r>
      <w:r>
        <w:t>section 5306</w:t>
      </w:r>
      <w:r>
        <w:t xml:space="preserve"> or undertake any other work or provide any other services for which it does not have sufficient funding.</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§5304. Outdoor School for All Maine Students Program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§5304. Outdoor School for All Maine Students Program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§5304. OUTDOOR SCHOOL FOR ALL MAINE STUDENTS PROGRAM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