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549-C</w:t>
        <w:t xml:space="preserve">.  </w:t>
      </w:r>
      <w:r>
        <w:rPr>
          <w:b/>
        </w:rPr>
        <w:t xml:space="preserve">Compliance with regulatory laws</w:t>
      </w:r>
    </w:p>
    <w:p>
      <w:pPr>
        <w:jc w:val="both"/>
        <w:spacing w:before="100" w:after="100"/>
        <w:ind w:start="360"/>
        <w:ind w:firstLine="360"/>
      </w:pPr>
      <w:r>
        <w:rPr/>
      </w:r>
      <w:r>
        <w:rPr/>
      </w:r>
      <w:r>
        <w:t xml:space="preserve">Nothing in this subchapter may be deemed to relieve any explorer or mining lessee from the obligation to comply with all applicable environmental or other regulatory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§549-C. Compliance with regulatory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§549-C. Compliance with regulatory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§549-C. COMPLIANCE WITH REGULATORY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