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6030-A</w:t>
        <w:t xml:space="preserve">.  </w:t>
      </w:r>
      <w:r>
        <w:rPr>
          <w:b/>
        </w:rPr>
        <w:t xml:space="preserve">Burnt Island; Burnt Island Living Lighthouse; rules</w:t>
      </w:r>
    </w:p>
    <w:p>
      <w:pPr>
        <w:jc w:val="both"/>
        <w:spacing w:before="100" w:after="100"/>
        <w:ind w:start="360"/>
        <w:ind w:firstLine="360"/>
      </w:pPr>
      <w:r>
        <w:rPr/>
      </w:r>
      <w:r>
        <w:rPr/>
      </w:r>
      <w:r>
        <w:t xml:space="preserve">The commissioner may adopt such rules as are necessary to protect and preserve Burnt Island and the Burnt Island Living Lighthouse.  In addition, the commissioner may adopt such rules as are necessary to provide for the successful implementation of the department-authorized educational and recreational programs that are conducted on the island.  The rules may include restrictions on public access to Burnt Island and the Burnt Island Living Lighthouse as determined reasonably necessary for these purposes.</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w:pPr>
        <w:jc w:val="both"/>
        <w:spacing w:before="100" w:after="100"/>
        <w:ind w:start="360"/>
        <w:ind w:firstLine="360"/>
      </w:pPr>
      <w:r>
        <w:rPr/>
      </w:r>
      <w:r>
        <w:rPr/>
      </w:r>
      <w:r>
        <w:t xml:space="preserve">Rules adopted pursuant to the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§6030-A. Burnt Island; Burnt Island Living Lighthouse;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§6030-A. Burnt Island; Burnt Island Living Lighthouse;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§6030-A. BURNT ISLAND; BURNT ISLAND LIVING LIGHTHOUSE;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