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6035-A</w:t>
        <w:t xml:space="preserve">.  </w:t>
      </w:r>
      <w:r>
        <w:rPr>
          <w:b/>
        </w:rPr>
        <w:t xml:space="preserve">Commercial Fishing Safety Fund</w:t>
      </w:r>
    </w:p>
    <w:p>
      <w:pPr>
        <w:jc w:val="both"/>
        <w:spacing w:before="100" w:after="100"/>
        <w:ind w:start="360"/>
        <w:ind w:firstLine="360"/>
      </w:pPr>
      <w:r>
        <w:rPr/>
      </w:r>
      <w:r>
        <w:rPr/>
      </w:r>
      <w:r>
        <w:t xml:space="preserve">The Commercial Fishing Safety Fund, referred to in this section as "the fund," is established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2025, c. 251, §1 (NEW).]</w:t>
      </w:r>
    </w:p>
    <w:p>
      <w:pPr>
        <w:jc w:val="both"/>
        <w:spacing w:before="100" w:after="0"/>
        <w:ind w:start="360"/>
        <w:ind w:firstLine="360"/>
      </w:pPr>
      <w:r>
        <w:rPr>
          <w:b/>
        </w:rPr>
        <w:t>1</w:t>
        <w:t xml:space="preserve">.  </w:t>
      </w:r>
      <w:r>
        <w:rPr>
          <w:b/>
        </w:rPr>
        <w:t xml:space="preserve">Sources.</w:t>
        <w:t xml:space="preserve"> </w:t>
      </w:r>
      <w:r>
        <w:t xml:space="preserve"> </w:t>
      </w:r>
      <w:r>
        <w:t xml:space="preserve">The commissioner may receive donations and funding from any source on behalf of the fund.  All money received into the fund must be used for the purposes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251, §1 (NEW).]</w:t>
      </w:r>
    </w:p>
    <w:p>
      <w:pPr>
        <w:jc w:val="both"/>
        <w:spacing w:before="100" w:after="0"/>
        <w:ind w:start="360"/>
        <w:ind w:firstLine="360"/>
      </w:pPr>
      <w:r>
        <w:rPr>
          <w:b/>
        </w:rPr>
        <w:t>2</w:t>
        <w:t xml:space="preserve">.  </w:t>
      </w:r>
      <w:r>
        <w:rPr>
          <w:b/>
        </w:rPr>
        <w:t xml:space="preserve">Use of fund.</w:t>
        <w:t xml:space="preserve"> </w:t>
      </w:r>
      <w:r>
        <w:t xml:space="preserve"> </w:t>
      </w:r>
      <w:r>
        <w:t xml:space="preserve">The commissioner shall use the fund to support activities related to improving safety in the commercial fishing industry and improving the department's ability to conduct search and rescue and recovery operations, including the acquisition of necessary equipment.  The commissioner shall consult with the Commercial Fishing Safety Council established in </w:t>
      </w:r>
      <w:r>
        <w:t>section 6034</w:t>
      </w:r>
      <w:r>
        <w:t xml:space="preserve"> in making expenditures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251, §1 (NEW).]</w:t>
      </w:r>
    </w:p>
    <w:p>
      <w:pPr>
        <w:jc w:val="both"/>
        <w:spacing w:before="100" w:after="0"/>
        <w:ind w:start="360"/>
        <w:ind w:firstLine="360"/>
      </w:pPr>
      <w:r>
        <w:rPr>
          <w:b/>
        </w:rPr>
        <w:t>3</w:t>
        <w:t xml:space="preserve">.  </w:t>
      </w:r>
      <w:r>
        <w:rPr>
          <w:b/>
        </w:rPr>
        <w:t xml:space="preserve">Interest and balances credited to fund.</w:t>
        <w:t xml:space="preserve"> </w:t>
      </w:r>
      <w:r>
        <w:t xml:space="preserve"> </w:t>
      </w:r>
      <w:r>
        <w:t xml:space="preserve">Any interest earned on the money in the fund must be credited to the fund.  Unexpended balances in the fund at the end of the fiscal year do not lapse but must be carried forward to the next fiscal year and credited to the fund to be used for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§6035-A. Commercial Fishing Safety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§6035-A. Commercial Fishing Safety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§6035-A. COMMERCIAL FISHING SAFETY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