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comments to the commissioner on the proposed limited-purpose lease by the 30-day deadline specified in the applicable notice to owners of riparian land or municipal officers or within 30 days of publication of the limited-purpose lease summary.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§9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10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§10 (AMD).]</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10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2023, c. 564, §11 (AMD).]</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§11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20-A</w:t>
        <w:t xml:space="preserve">.  </w:t>
      </w:r>
      <w:r>
        <w:rPr>
          <w:b/>
        </w:rPr>
        <w:t xml:space="preserve">Extension for conversion of a commercial lease.</w:t>
        <w:t xml:space="preserve"> </w:t>
      </w:r>
      <w:r>
        <w:t xml:space="preserve"> </w:t>
      </w:r>
      <w:r>
        <w:t xml:space="preserve">If a person who holds a limited-purpose lease for commercial aquaculture research and development submits an application under </w:t>
      </w:r>
      <w:r>
        <w:t>section 6072, subsection 12‑D</w:t>
      </w:r>
      <w:r>
        <w:t xml:space="preserve"> for that same lease area and the same operations before the expiration of that limited-purpose lease, and if the commissioner does not make a decision under </w:t>
      </w:r>
      <w:r>
        <w:t>section 6072, subsection 12‑D</w:t>
      </w:r>
      <w:r>
        <w:t xml:space="preserve"> before the expiration of that limited-purpose lease, the limited-purpose lease remains in effect until the commissioner makes a decision under </w:t>
      </w:r>
      <w:r>
        <w:t>section 6072, subsection 12‑D</w:t>
      </w:r>
      <w:r>
        <w:t xml:space="preserve">. If the commissioner grants the person a lease under </w:t>
      </w:r>
      <w:r>
        <w:t>section 6072, subsection 12‑D</w:t>
      </w:r>
      <w:r>
        <w:t xml:space="preserve">, that person's limited-purpose lease remains in effect until the effective date of the lease issued under </w:t>
      </w:r>
      <w:r>
        <w:t>section 6072, subsection 12‑D</w:t>
      </w:r>
      <w:r>
        <w:t xml:space="preserve">. If the commissioner denies that person a lease under </w:t>
      </w:r>
      <w:r>
        <w:t>section 6072, subsection 12‑D</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§12 (NEW).]</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PL 2023, c. 564,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§6072-A. LIMITED-PURPOSE LEASE FOR COMMERCIAL OR SCIENTIFIC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