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§6204. General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§6204. General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§6204. GENERAL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