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§6447. Lobster management policy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§6447. LOBSTER MANAGEMENT POLICY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