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6541</w:t>
        <w:t xml:space="preserve">.  </w:t>
      </w:r>
      <w:r>
        <w:rPr>
          <w:b/>
        </w:rPr>
        <w:t xml:space="preserve">Artificial lights in herring fishing</w:t>
      </w:r>
    </w:p>
    <w:p>
      <w:pPr>
        <w:jc w:val="both"/>
        <w:spacing w:before="100" w:after="100"/>
        <w:ind w:start="360"/>
        <w:ind w:firstLine="360"/>
      </w:pPr>
      <w:r>
        <w:rPr/>
      </w:r>
      <w:r>
        <w:rPr/>
      </w:r>
      <w:r>
        <w:t xml:space="preserve">It shall be unlawful to take herring by use of or with the aid of any artificial light in the coastal waters,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r>
      <w:r>
        <w:rPr/>
      </w:r>
      <w:r>
        <w:t xml:space="preserve">The commissioner may adopt or amend regulations that set aside specific areas where artificial light may be used in the taking of herring, provided the herring are to be taken for bait and the activity will not unreasonably interfere with commercial herring fishing.</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§6541. Artificial lights in herring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§6541. Artificial lights in herring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§6541. ARTIFICIAL LIGHTS IN HERRING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