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Surf clam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the harvesting of surf clams unless that boat carries a current surf clam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A surf clam boat license issued under this section may be used for harvesting surf clams.  The holder of a surf clam boat license may also possess or transport surf clams within state limits or sell surf clams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harvesting surf clams to undertake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§27 (AMD).]</w:t>
      </w:r>
    </w:p>
    <w:p>
      <w:pPr>
        <w:jc w:val="both"/>
        <w:spacing w:before="100" w:after="0"/>
        <w:ind w:start="360"/>
        <w:ind w:firstLine="360"/>
      </w:pPr>
      <w:r>
        <w:rPr>
          <w:b/>
        </w:rPr>
        <w:t>3</w:t>
        <w:t xml:space="preserve">.  </w:t>
      </w:r>
      <w:r>
        <w:rPr>
          <w:b/>
        </w:rPr>
        <w:t xml:space="preserve">Eligibility.</w:t>
        <w:t xml:space="preserve"> </w:t>
      </w:r>
      <w:r>
        <w:t xml:space="preserve"> </w:t>
      </w:r>
      <w:r>
        <w:t xml:space="preserve">A surf clam boat license may be issued only to an individual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3 bushels of surf clams for personal use without a surf clam boat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surf clam boat license is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§15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 PL 2009, c. 213, Pt. G, §15 (AMD). PL 2009, c. 217, §2 (AMD). PL 2011, c. 598,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§6602. Surf clam boat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Surf clam boat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§6602. SURF CLAM BOAT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