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Bureau of Forestry advisory programs</w:t>
      </w:r>
    </w:p>
    <w:p>
      <w:pPr>
        <w:jc w:val="both"/>
        <w:spacing w:before="100" w:after="100"/>
        <w:ind w:start="360"/>
        <w:ind w:firstLine="360"/>
      </w:pPr>
      <w:r>
        <w:rPr/>
      </w:r>
      <w:r>
        <w:rPr/>
      </w:r>
      <w:r>
        <w:t xml:space="preserve">The bureau shall undertake the following programs to provide information and educational services for forest management in this State.</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Forest management information.</w:t>
        <w:t xml:space="preserve"> </w:t>
      </w:r>
      <w:r>
        <w:t xml:space="preserve"> </w:t>
      </w:r>
      <w:r>
        <w:t xml:space="preserve">The bureau shall provide a forest management information clearinghouse service with a statewide toll-free number.  The information and referral service must include, but is not limited to:</w:t>
      </w:r>
    </w:p>
    <w:p>
      <w:pPr>
        <w:jc w:val="both"/>
        <w:spacing w:before="100" w:after="0"/>
        <w:ind w:start="720"/>
      </w:pPr>
      <w:r>
        <w:rPr/>
        <w:t>A</w:t>
        <w:t xml:space="preserve">.  </w:t>
      </w:r>
      <w:r>
        <w:rPr/>
      </w:r>
      <w:r>
        <w:t xml:space="preserve">Reporting, notification and management requirements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Timber and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Soil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Insect and disease management practices;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Recreation management options;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Wildlife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360"/>
      </w:pPr>
      <w:r>
        <w:rPr/>
      </w:r>
      <w:r>
        <w:rPr/>
      </w:r>
      <w:r>
        <w:t xml:space="preserve">Addresses, telephone numbers and electronic mail addresses collected by the bureau for the purpose of contacting forest landowners owning less than 1,000 acres statewide to provide them with forest management information are confidential and may be disclosed only in accordance with </w:t>
      </w:r>
      <w:r>
        <w:t>section 8005</w:t>
      </w:r>
      <w:r>
        <w:t xml:space="preserve">.  The bureau shall provide copies of forest management information sent to landowners to the joint standing committee of the Legislature having jurisdiction over agriculture, conservation and forestry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§2 (AMD); PL 2011, c. 657, Pt. W, §7 (REV); PL 2013, c. 405, Pt. A, §23 (REV).]</w:t>
      </w:r>
    </w:p>
    <w:p>
      <w:pPr>
        <w:jc w:val="both"/>
        <w:spacing w:before="100" w:after="100"/>
        <w:ind w:start="360"/>
        <w:ind w:firstLine="360"/>
      </w:pPr>
      <w:r>
        <w:rPr>
          <w:b/>
        </w:rPr>
        <w:t>2</w:t>
        <w:t xml:space="preserve">.  </w:t>
      </w:r>
      <w:r>
        <w:rPr>
          <w:b/>
        </w:rPr>
        <w:t xml:space="preserve">Natural resource educator.</w:t>
        <w:t xml:space="preserve"> </w:t>
      </w:r>
      <w:r>
        <w:t xml:space="preserve"> </w:t>
      </w:r>
      <w:r>
        <w:t xml:space="preserve">The director shall employ a natural resource educator to develop and coordinate natural resource education, workshops and training opportunities for school-age children, forest landowners, forest products harvesters and forest managers.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1989, c. 700, §A40 (AMD). PL 2003, c. 346, §1 (AMD). PL 2005, c. 133, §1 (AMD). PL 2005, c. 358,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§8611. Bureau of Forestry advisory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Bureau of Forestry advisory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§8611. BUREAU OF FORESTRY ADVISORY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