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w:t>
        <w:t xml:space="preserve">.  </w:t>
      </w:r>
      <w:r>
        <w:rPr>
          <w:b/>
        </w:rPr>
        <w:t xml:space="preserve">Computation of time for giving notice</w:t>
      </w:r>
    </w:p>
    <w:p>
      <w:pPr>
        <w:jc w:val="both"/>
        <w:spacing w:before="100" w:after="100"/>
        <w:ind w:start="360"/>
        <w:ind w:firstLine="360"/>
      </w:pPr>
      <w:r>
        <w:rPr/>
      </w:r>
      <w:r>
        <w:rPr/>
      </w:r>
      <w:r>
        <w:t xml:space="preserve">In computing the period of time for the giving of any notice required or permitted under this Act, or under the articles, the bylaws of the corporation, or a resolution of its members or directors, the day on which the notice is given shall be excluded, and the day when the act for which notice is given to be done shall be included, unless the instrument calling for the notice otherwise specifically provides.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 Computation of time for giving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 Computation of time for giving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§108. COMPUTATION OF TIME FOR GIVING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