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w:t>
        <w:t xml:space="preserve">.  </w:t>
      </w:r>
      <w:r>
        <w:rPr>
          <w:b/>
        </w:rPr>
        <w:t xml:space="preserve">Practicing profession or occupation</w:t>
      </w:r>
    </w:p>
    <w:p>
      <w:pPr>
        <w:jc w:val="both"/>
        <w:spacing w:before="100" w:after="100"/>
        <w:ind w:start="360"/>
        <w:ind w:firstLine="360"/>
      </w:pPr>
      <w:r>
        <w:rPr/>
      </w:r>
      <w:r>
        <w:rPr/>
      </w:r>
      <w:r>
        <w:t xml:space="preserve">Except as otherwise expressly provided by law, a nonprofit corporation shall not be required to obtain a license or to be registered to practice a profession or occupation. Any employee of such a corporation who practices or holds himself out to practice a profession or occupation shall be licensed or registered as required by law.</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§1307. Practicing profession or occupation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 Practicing profession or occupation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§1307. PRACTICING PROFESSION OR OCCUPATION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