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Authority to form association</w:t>
      </w:r>
    </w:p>
    <w:p>
      <w:pPr>
        <w:jc w:val="both"/>
        <w:spacing w:before="100" w:after="100"/>
        <w:ind w:start="360"/>
        <w:ind w:firstLine="360"/>
      </w:pPr>
      <w:r>
        <w:rPr/>
      </w:r>
      <w:r>
        <w:rPr/>
      </w:r>
      <w:r>
        <w:t xml:space="preserve">Five or more persons, a majority of whom are residents of this State, engaged in the fishery business, may form an association, with or without shares of stock, under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Authority to form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Authority to form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§2051. AUTHORITY TO FORM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