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2023</w:t>
        <w:t xml:space="preserve">.  </w:t>
      </w:r>
      <w:r>
        <w:rPr>
          <w:b/>
        </w:rPr>
        <w:t xml:space="preserve">Validity of excess levy; remedy</w:t>
      </w:r>
    </w:p>
    <w:p>
      <w:pPr>
        <w:jc w:val="both"/>
        <w:spacing w:before="100" w:after="100"/>
        <w:ind w:start="360"/>
        <w:ind w:firstLine="360"/>
      </w:pPr>
      <w:r>
        <w:rPr/>
      </w:r>
      <w:r>
        <w:rPr/>
      </w:r>
      <w:r>
        <w:t xml:space="preserve">When, by an error of the officer, the amount for which the levy was made exceeds the amount of debt or damage, costs, interest and costs of levy, by a sum not greater than 1% thereof, it is valid if otherwise legally made. The debtor or owner of the estate may maintain a civil action against such officer or his principal to recover all damages occasioned thereby, or a civil action against the creditor to have such error corrected, and the court may correct it, in any just and equitable manner, or it may decree a pecuniary compensation for the injury.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§2023. Validity of excess levy;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§2023. Validity of excess levy;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§2023. VALIDITY OF EXCESS LEVY;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