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2857</w:t>
        <w:t xml:space="preserve">.  </w:t>
      </w:r>
      <w:r>
        <w:rPr>
          <w:b/>
        </w:rPr>
        <w:t xml:space="preserve">Remedy on bond where executor or administrator fails to pay</w:t>
      </w:r>
    </w:p>
    <w:p>
      <w:pPr>
        <w:jc w:val="both"/>
        <w:spacing w:before="100" w:after="100"/>
        <w:ind w:start="360"/>
        <w:ind w:firstLine="360"/>
      </w:pPr>
      <w:r>
        <w:rPr/>
      </w:r>
      <w:r>
        <w:rPr/>
      </w:r>
      <w:r>
        <w:t xml:space="preserve">If after final judgment against an executor or administrator for any certain sum due from him as trustee he neglects to pay it, the original plaintiff in the foreign attachment has the same remedy for recovering the amount, either upon a suggestion of waste or by an action on the administration bond, as the principal defendant in the foreign attachment would have had upon a judgment recovered by himself for the same demand against the executor or administrator.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§2857. Remedy on bond where executor or administrator fails to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§2857. Remedy on bond where executor or administrator fails to pay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§2857. REMEDY ON BOND WHERE EXECUTOR OR ADMINISTRATOR FAILS TO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