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Compensation when trustee in another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§2904. COMPENSATION WHEN TRUSTEE IN ANOTHER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