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w:t>
        <w:t xml:space="preserve">.  </w:t>
      </w:r>
      <w:r>
        <w:rPr>
          <w:b/>
        </w:rPr>
        <w:t xml:space="preserve">Deposition, production and inspection</w:t>
      </w:r>
    </w:p>
    <w:p>
      <w:pPr>
        <w:jc w:val="both"/>
        <w:spacing w:before="100" w:after="100"/>
        <w:ind w:start="360"/>
        <w:ind w:firstLine="360"/>
      </w:pPr>
      <w:r>
        <w:rPr/>
      </w:r>
      <w:r>
        <w:rPr/>
      </w:r>
      <w:r>
        <w:t xml:space="preserve">The Maine Rules of Civil Procedure and the provisions of </w:t>
      </w:r>
      <w:r>
        <w:t>Title 16, sections 101</w:t>
      </w:r>
      <w:r>
        <w:t xml:space="preserve">, </w:t>
      </w:r>
      <w:r>
        <w:t>102</w:t>
      </w:r>
      <w:r>
        <w:t xml:space="preserve"> and </w:t>
      </w:r>
      <w:r>
        <w:t>251</w:t>
      </w:r>
      <w:r>
        <w:t xml:space="preserve"> apply to depositions and discovery carried out under this Act and subpoenas issued under </w:t>
      </w:r>
      <w:r>
        <w:t>section 403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 Deposition, production and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 Deposition, production and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§405. DEPOSITION, PRODUCTION AND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