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Property of part owners; attachment; disposal</w:t>
      </w:r>
    </w:p>
    <w:p>
      <w:pPr>
        <w:jc w:val="both"/>
        <w:spacing w:before="100" w:after="100"/>
        <w:ind w:start="360"/>
        <w:ind w:firstLine="360"/>
      </w:pPr>
      <w:r>
        <w:rPr/>
      </w:r>
      <w:r>
        <w:rPr/>
      </w:r>
      <w:r>
        <w:t xml:space="preserve">When personal property is attached in a civil action against one or more part owners thereof, at the request of another part owner, it shall be appraised as provided, one appraiser to be chosen by the creditor, one by the officer and the other by the requesting part owner. Thereupon it shall be delivered to such part owner on his giving bond to the officer with 2 sufficient sureties, conditioned to restore it in like good order, pay the appraised value of the defendant's share therein or satisfy all judgments recovered in the attaching actions, if demanded within the time during which it would be held by the attachments. Such bond shall be returned with the writ of attachment with the doings of the officer thereon.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Property of part owners; attachment; disposal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Property of part owners; attachment; disposal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§4301. PROPERTY OF PART OWNERS; ATTACHMENT; DISPOSAL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