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One-year limit; exception</w:t>
      </w:r>
    </w:p>
    <w:p>
      <w:pPr>
        <w:jc w:val="both"/>
        <w:spacing w:before="100" w:after="100"/>
        <w:ind w:start="360"/>
        <w:ind w:firstLine="360"/>
      </w:pPr>
      <w:r>
        <w:rPr/>
      </w:r>
      <w:r>
        <w:rPr/>
      </w:r>
      <w:r>
        <w:t xml:space="preserve">No first execution shall be issued after one year from the time the judgment has become final by the expiration of the time for appeal, by dismissal of an appeal, or on certificate of decision from the law court, except in cases provided for by </w:t>
      </w:r>
      <w:r>
        <w:t>section 4701</w:t>
      </w:r>
      <w:r>
        <w:t xml:space="preserve"> in which the first execution may be issued within not less than one year nor more than 2 years from the time of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§4652. One-year limit;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One-year limit;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§4652. ONE-YEAR LIMIT;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