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Action commenced when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 ACTION COMMENCED WHEN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